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75" w:rsidRDefault="00951A9B" w:rsidP="00191325">
      <w:pPr>
        <w:jc w:val="center"/>
        <w:rPr>
          <w:b/>
          <w:u w:val="single"/>
        </w:rPr>
      </w:pPr>
      <w:r w:rsidRPr="0091220E">
        <w:rPr>
          <w:b/>
          <w:u w:val="single"/>
        </w:rPr>
        <w:t xml:space="preserve">Educational Issues Presentation: </w:t>
      </w:r>
      <w:r w:rsidR="004A2D9F" w:rsidRPr="0091220E">
        <w:rPr>
          <w:b/>
          <w:u w:val="single"/>
        </w:rPr>
        <w:t>Bullying</w:t>
      </w:r>
    </w:p>
    <w:p w:rsidR="0091220E" w:rsidRPr="0091220E" w:rsidRDefault="0091220E" w:rsidP="00191325">
      <w:pPr>
        <w:jc w:val="center"/>
        <w:rPr>
          <w:b/>
          <w:u w:val="single"/>
        </w:rPr>
      </w:pPr>
    </w:p>
    <w:p w:rsidR="00197490" w:rsidRPr="0091220E" w:rsidRDefault="00197490" w:rsidP="00197490">
      <w:pPr>
        <w:ind w:left="567"/>
        <w:rPr>
          <w:i/>
        </w:rPr>
      </w:pPr>
      <w:r w:rsidRPr="0091220E">
        <w:rPr>
          <w:i/>
        </w:rPr>
        <w:t>(Discussion thoughts are some of the questions that came up during the preparation of this document. The actual p</w:t>
      </w:r>
      <w:r w:rsidR="0091220E">
        <w:rPr>
          <w:i/>
        </w:rPr>
        <w:t>resentation may not address all</w:t>
      </w:r>
      <w:r w:rsidRPr="0091220E">
        <w:rPr>
          <w:i/>
        </w:rPr>
        <w:t xml:space="preserve"> of them directly, but they are intended at thought process starters.)</w:t>
      </w:r>
    </w:p>
    <w:p w:rsidR="00951A9B" w:rsidRPr="0091220E" w:rsidRDefault="00951A9B"/>
    <w:p w:rsidR="004A2D9F" w:rsidRPr="0091220E" w:rsidRDefault="004A2D9F">
      <w:r w:rsidRPr="0091220E">
        <w:t>What is bullying</w:t>
      </w:r>
      <w:r w:rsidR="00191325" w:rsidRPr="0091220E">
        <w:t>:</w:t>
      </w:r>
      <w:r w:rsidR="001D605C" w:rsidRPr="0091220E">
        <w:t xml:space="preserve"> </w:t>
      </w:r>
    </w:p>
    <w:p w:rsidR="004A2D9F" w:rsidRPr="0091220E" w:rsidRDefault="004A2D9F" w:rsidP="00191325">
      <w:pPr>
        <w:ind w:left="567"/>
      </w:pPr>
    </w:p>
    <w:p w:rsidR="00191325" w:rsidRPr="0091220E" w:rsidRDefault="001D605C" w:rsidP="00191325">
      <w:pPr>
        <w:ind w:left="567"/>
      </w:pPr>
      <w:r w:rsidRPr="0091220E">
        <w:t xml:space="preserve">Bullying does not have a universal definition. There are many definitions and approaches to the issue based on often competing or </w:t>
      </w:r>
      <w:r w:rsidR="00191325" w:rsidRPr="0091220E">
        <w:t>contradictory perspectives</w:t>
      </w:r>
      <w:r w:rsidRPr="0091220E">
        <w:t>. Because of this it is very difficult to find concrete or direct action advice in dealing with bullying.</w:t>
      </w:r>
    </w:p>
    <w:p w:rsidR="00191325" w:rsidRPr="0091220E" w:rsidRDefault="00191325" w:rsidP="00191325">
      <w:pPr>
        <w:ind w:left="567"/>
      </w:pPr>
    </w:p>
    <w:p w:rsidR="00191325" w:rsidRPr="0091220E" w:rsidRDefault="001D605C" w:rsidP="001D605C">
      <w:pPr>
        <w:ind w:left="1134" w:hanging="567"/>
      </w:pPr>
      <w:r w:rsidRPr="0091220E">
        <w:t xml:space="preserve">Base definition: </w:t>
      </w:r>
      <w:r w:rsidR="00191325" w:rsidRPr="0091220E">
        <w:t>“A hurtful action carried out repeatedly over time.” (</w:t>
      </w:r>
      <w:proofErr w:type="spellStart"/>
      <w:r w:rsidR="00191325" w:rsidRPr="0091220E">
        <w:t>Froschl</w:t>
      </w:r>
      <w:proofErr w:type="spellEnd"/>
      <w:r w:rsidR="00191325" w:rsidRPr="0091220E">
        <w:t xml:space="preserve">, Sprung, &amp; </w:t>
      </w:r>
      <w:proofErr w:type="spellStart"/>
      <w:r w:rsidR="00191325" w:rsidRPr="0091220E">
        <w:t>Hinitz</w:t>
      </w:r>
      <w:proofErr w:type="spellEnd"/>
      <w:r w:rsidR="00191325" w:rsidRPr="0091220E">
        <w:t>, 2005)</w:t>
      </w:r>
    </w:p>
    <w:p w:rsidR="001D605C" w:rsidRPr="0091220E" w:rsidRDefault="001D605C" w:rsidP="001D605C">
      <w:pPr>
        <w:pStyle w:val="ListParagraph"/>
        <w:numPr>
          <w:ilvl w:val="0"/>
          <w:numId w:val="1"/>
        </w:numPr>
        <w:ind w:left="851" w:hanging="284"/>
        <w:rPr>
          <w:i/>
        </w:rPr>
      </w:pPr>
      <w:r w:rsidRPr="0091220E">
        <w:rPr>
          <w:i/>
        </w:rPr>
        <w:t>Discussion Thought: If the is only a single inc</w:t>
      </w:r>
      <w:r w:rsidR="00D309B9" w:rsidRPr="0091220E">
        <w:rPr>
          <w:i/>
        </w:rPr>
        <w:t>id</w:t>
      </w:r>
      <w:r w:rsidRPr="0091220E">
        <w:rPr>
          <w:i/>
        </w:rPr>
        <w:t>ent of a hurtful action, is it still a for</w:t>
      </w:r>
      <w:r w:rsidR="00D309B9" w:rsidRPr="0091220E">
        <w:rPr>
          <w:i/>
        </w:rPr>
        <w:t>m</w:t>
      </w:r>
      <w:r w:rsidRPr="0091220E">
        <w:rPr>
          <w:i/>
        </w:rPr>
        <w:t xml:space="preserve"> of bullying?</w:t>
      </w:r>
    </w:p>
    <w:p w:rsidR="001D605C" w:rsidRPr="0091220E" w:rsidRDefault="001D605C" w:rsidP="001D605C">
      <w:pPr>
        <w:ind w:left="1134" w:hanging="567"/>
      </w:pPr>
    </w:p>
    <w:p w:rsidR="00191325" w:rsidRPr="0091220E" w:rsidRDefault="001D605C" w:rsidP="001D605C">
      <w:pPr>
        <w:ind w:left="1134" w:hanging="567"/>
      </w:pPr>
      <w:r w:rsidRPr="0091220E">
        <w:t xml:space="preserve">Differentiating the person and the behavior: </w:t>
      </w:r>
      <w:r w:rsidR="00191325" w:rsidRPr="0091220E">
        <w:t xml:space="preserve">“Bullying is a way of treating people that is mean and hurtful. People who bully are not bad </w:t>
      </w:r>
      <w:proofErr w:type="gramStart"/>
      <w:r w:rsidR="00191325" w:rsidRPr="0091220E">
        <w:t>people,</w:t>
      </w:r>
      <w:proofErr w:type="gramEnd"/>
      <w:r w:rsidR="00191325" w:rsidRPr="0091220E">
        <w:t xml:space="preserve"> their behaviour is what’s bad. A person can learn to stop acting like a bully.” (</w:t>
      </w:r>
      <w:proofErr w:type="spellStart"/>
      <w:r w:rsidR="00191325" w:rsidRPr="0091220E">
        <w:t>Beane</w:t>
      </w:r>
      <w:proofErr w:type="spellEnd"/>
      <w:r w:rsidR="00191325" w:rsidRPr="0091220E">
        <w:t>, &amp; Fox, 2009)</w:t>
      </w:r>
    </w:p>
    <w:p w:rsidR="00D309B9" w:rsidRPr="0091220E" w:rsidRDefault="00D309B9" w:rsidP="00D309B9">
      <w:pPr>
        <w:pStyle w:val="ListParagraph"/>
        <w:numPr>
          <w:ilvl w:val="0"/>
          <w:numId w:val="1"/>
        </w:numPr>
        <w:ind w:left="851" w:hanging="284"/>
        <w:rPr>
          <w:i/>
        </w:rPr>
      </w:pPr>
      <w:r w:rsidRPr="0091220E">
        <w:rPr>
          <w:i/>
        </w:rPr>
        <w:t>Discussion Thought:</w:t>
      </w:r>
      <w:r w:rsidR="007F20F1" w:rsidRPr="0091220E">
        <w:rPr>
          <w:i/>
        </w:rPr>
        <w:t xml:space="preserve"> How is responsibility for one’s actions assigned? If two people engage in bullying behaviours, but were motivated to it for different reasons, do they hold the same responsibility?</w:t>
      </w:r>
    </w:p>
    <w:p w:rsidR="00F730E7" w:rsidRPr="0091220E" w:rsidRDefault="00F730E7" w:rsidP="00191325">
      <w:pPr>
        <w:ind w:left="567"/>
      </w:pPr>
    </w:p>
    <w:p w:rsidR="00F730E7" w:rsidRPr="0091220E" w:rsidRDefault="00F730E7" w:rsidP="00191325">
      <w:pPr>
        <w:ind w:left="567"/>
      </w:pPr>
      <w:r w:rsidRPr="0091220E">
        <w:t>Who is an ‘Expert’</w:t>
      </w:r>
      <w:r w:rsidR="001D605C" w:rsidRPr="0091220E">
        <w:t xml:space="preserve">? </w:t>
      </w:r>
    </w:p>
    <w:p w:rsidR="00D309B9" w:rsidRPr="0091220E" w:rsidRDefault="00D309B9" w:rsidP="00191325">
      <w:pPr>
        <w:ind w:left="567"/>
      </w:pPr>
    </w:p>
    <w:p w:rsidR="00D309B9" w:rsidRPr="0091220E" w:rsidRDefault="00D309B9" w:rsidP="00D309B9">
      <w:pPr>
        <w:ind w:left="851"/>
      </w:pPr>
      <w:r w:rsidRPr="0091220E">
        <w:t>Finding an appropriate ‘Expert’ to guide us though incidents of bullying is both subjective</w:t>
      </w:r>
      <w:r w:rsidR="0007595A">
        <w:t xml:space="preserve"> and situational.</w:t>
      </w:r>
      <w:r w:rsidRPr="0091220E">
        <w:t xml:space="preserve"> </w:t>
      </w:r>
    </w:p>
    <w:p w:rsidR="00D309B9" w:rsidRPr="0091220E" w:rsidRDefault="00D309B9" w:rsidP="00D309B9">
      <w:pPr>
        <w:pStyle w:val="ListParagraph"/>
        <w:numPr>
          <w:ilvl w:val="0"/>
          <w:numId w:val="1"/>
        </w:numPr>
        <w:ind w:left="1134" w:hanging="284"/>
        <w:rPr>
          <w:i/>
        </w:rPr>
      </w:pPr>
      <w:r w:rsidRPr="0091220E">
        <w:rPr>
          <w:i/>
        </w:rPr>
        <w:t>Discussion Thought: Are the following people ‘Experts’ – Psychologists, Psychiatrists, Teachers, Parents, Day Home/Day Care supervisors, Lawyers, other?</w:t>
      </w:r>
    </w:p>
    <w:p w:rsidR="00D309B9" w:rsidRPr="0091220E" w:rsidRDefault="00D309B9" w:rsidP="00D309B9">
      <w:pPr>
        <w:ind w:left="851"/>
      </w:pPr>
    </w:p>
    <w:p w:rsidR="00191325" w:rsidRPr="0091220E" w:rsidRDefault="00D309B9" w:rsidP="00EF0CC6">
      <w:pPr>
        <w:ind w:left="851"/>
      </w:pPr>
      <w:r w:rsidRPr="0091220E">
        <w:t>Example of a controversial expert:</w:t>
      </w:r>
      <w:r w:rsidR="00191325" w:rsidRPr="0091220E">
        <w:t xml:space="preserve"> </w:t>
      </w:r>
      <w:proofErr w:type="spellStart"/>
      <w:r w:rsidR="00191325" w:rsidRPr="0091220E">
        <w:t>Izzy</w:t>
      </w:r>
      <w:proofErr w:type="spellEnd"/>
      <w:r w:rsidR="00191325" w:rsidRPr="0091220E">
        <w:t xml:space="preserve"> </w:t>
      </w:r>
      <w:proofErr w:type="spellStart"/>
      <w:r w:rsidR="00191325" w:rsidRPr="0091220E">
        <w:t>Kalman</w:t>
      </w:r>
      <w:proofErr w:type="spellEnd"/>
      <w:r w:rsidR="0007595A">
        <w:t>.</w:t>
      </w:r>
    </w:p>
    <w:p w:rsidR="00197490" w:rsidRPr="0091220E" w:rsidRDefault="00197490" w:rsidP="00197490">
      <w:pPr>
        <w:pStyle w:val="ListParagraph"/>
        <w:numPr>
          <w:ilvl w:val="0"/>
          <w:numId w:val="1"/>
        </w:numPr>
        <w:ind w:left="1134" w:hanging="284"/>
        <w:rPr>
          <w:i/>
        </w:rPr>
      </w:pPr>
      <w:r w:rsidRPr="0091220E">
        <w:rPr>
          <w:i/>
        </w:rPr>
        <w:t>Discussion Thought: If an ‘Expert’ sounds reasonable 80% of the time, and the rest somewhat questionable, is it appropriate to continue to use the information, or do you risk people just presuming 100% of the information is appropriate.</w:t>
      </w:r>
    </w:p>
    <w:p w:rsidR="00197490" w:rsidRPr="0091220E" w:rsidRDefault="00197490" w:rsidP="00EF0CC6">
      <w:pPr>
        <w:ind w:left="851"/>
      </w:pPr>
    </w:p>
    <w:p w:rsidR="00F730E7" w:rsidRPr="0091220E" w:rsidRDefault="006164AC" w:rsidP="00EF0CC6">
      <w:pPr>
        <w:ind w:left="284"/>
      </w:pPr>
      <w:r w:rsidRPr="0091220E">
        <w:t>Purpose: To expose the difficulty in encompassing the full topic</w:t>
      </w:r>
      <w:r w:rsidR="00EF0CC6" w:rsidRPr="0091220E">
        <w:t xml:space="preserve">, the difficulty in reaching concrete examples or direction on how to address the issue, and who to turn to for advice. </w:t>
      </w:r>
    </w:p>
    <w:p w:rsidR="00F730E7" w:rsidRPr="0091220E" w:rsidRDefault="00F730E7" w:rsidP="00191325">
      <w:pPr>
        <w:ind w:left="567"/>
      </w:pPr>
    </w:p>
    <w:p w:rsidR="004A2D9F" w:rsidRPr="0091220E" w:rsidRDefault="00EF0CC6" w:rsidP="00191325">
      <w:pPr>
        <w:ind w:left="284" w:hanging="284"/>
      </w:pPr>
      <w:r w:rsidRPr="0091220E">
        <w:t>Bullying in the classroom</w:t>
      </w:r>
    </w:p>
    <w:p w:rsidR="006164AC" w:rsidRPr="0091220E" w:rsidRDefault="006164AC" w:rsidP="006164AC">
      <w:pPr>
        <w:ind w:left="567"/>
      </w:pPr>
    </w:p>
    <w:p w:rsidR="006164AC" w:rsidRPr="0091220E" w:rsidRDefault="006164AC" w:rsidP="006164AC">
      <w:pPr>
        <w:ind w:left="567"/>
      </w:pPr>
      <w:r w:rsidRPr="0091220E">
        <w:t>Activity - Complement cards</w:t>
      </w:r>
    </w:p>
    <w:p w:rsidR="00EF0CC6" w:rsidRPr="0091220E" w:rsidRDefault="006164AC" w:rsidP="00EF0CC6">
      <w:pPr>
        <w:ind w:left="851"/>
      </w:pPr>
      <w:r w:rsidRPr="0091220E">
        <w:t>Cards complement individual traits that are under the control of the individual</w:t>
      </w:r>
      <w:r w:rsidR="00EF0CC6" w:rsidRPr="0091220E">
        <w:t>. The</w:t>
      </w:r>
      <w:r w:rsidRPr="0091220E">
        <w:t xml:space="preserve"> cards </w:t>
      </w:r>
      <w:r w:rsidR="00EF0CC6" w:rsidRPr="0091220E">
        <w:t xml:space="preserve">also </w:t>
      </w:r>
      <w:r w:rsidRPr="0091220E">
        <w:t xml:space="preserve">provide examples of respectful things to say and </w:t>
      </w:r>
      <w:r w:rsidR="00EF0CC6" w:rsidRPr="0091220E">
        <w:t xml:space="preserve">of </w:t>
      </w:r>
      <w:r w:rsidRPr="0091220E">
        <w:t>appropriate behaviours for positive attention.</w:t>
      </w:r>
    </w:p>
    <w:p w:rsidR="00EF0CC6" w:rsidRPr="0091220E" w:rsidRDefault="00EF0CC6" w:rsidP="007F20F1">
      <w:pPr>
        <w:pStyle w:val="ListParagraph"/>
        <w:numPr>
          <w:ilvl w:val="0"/>
          <w:numId w:val="1"/>
        </w:numPr>
        <w:ind w:left="1134" w:hanging="284"/>
        <w:rPr>
          <w:i/>
        </w:rPr>
      </w:pPr>
      <w:r w:rsidRPr="0091220E">
        <w:rPr>
          <w:i/>
        </w:rPr>
        <w:t xml:space="preserve">Discussion Thought: Are there potential shortcomings to this activity. </w:t>
      </w:r>
      <w:r w:rsidR="007F20F1" w:rsidRPr="0091220E">
        <w:rPr>
          <w:i/>
        </w:rPr>
        <w:t>T</w:t>
      </w:r>
      <w:r w:rsidRPr="0091220E">
        <w:rPr>
          <w:i/>
        </w:rPr>
        <w:t xml:space="preserve">wo </w:t>
      </w:r>
      <w:proofErr w:type="gramStart"/>
      <w:r w:rsidRPr="0091220E">
        <w:rPr>
          <w:i/>
        </w:rPr>
        <w:t>modification</w:t>
      </w:r>
      <w:proofErr w:type="gramEnd"/>
      <w:r w:rsidRPr="0091220E">
        <w:rPr>
          <w:i/>
        </w:rPr>
        <w:t xml:space="preserve"> </w:t>
      </w:r>
      <w:r w:rsidR="007F20F1" w:rsidRPr="0091220E">
        <w:rPr>
          <w:i/>
        </w:rPr>
        <w:t xml:space="preserve">have been made </w:t>
      </w:r>
      <w:r w:rsidRPr="0091220E">
        <w:rPr>
          <w:i/>
        </w:rPr>
        <w:t xml:space="preserve">to this activity to </w:t>
      </w:r>
      <w:r w:rsidR="007F20F1" w:rsidRPr="0091220E">
        <w:rPr>
          <w:i/>
        </w:rPr>
        <w:t>fit Education 2500: 1. P</w:t>
      </w:r>
      <w:r w:rsidRPr="0091220E">
        <w:rPr>
          <w:i/>
        </w:rPr>
        <w:t xml:space="preserve">re-selected the </w:t>
      </w:r>
      <w:r w:rsidR="007F20F1" w:rsidRPr="0091220E">
        <w:rPr>
          <w:i/>
        </w:rPr>
        <w:t xml:space="preserve">‘to’ and from’ names to ensure everyone would receive a card, and the sender would likely have experience with the receiver as they are place in the same school, and 2. Participants write their own complements, as opposed to selecting form pre-written ones. </w:t>
      </w:r>
      <w:r w:rsidRPr="0091220E">
        <w:rPr>
          <w:i/>
        </w:rPr>
        <w:t xml:space="preserve"> </w:t>
      </w:r>
    </w:p>
    <w:p w:rsidR="0038240A" w:rsidRPr="0091220E" w:rsidRDefault="0038240A" w:rsidP="006164AC">
      <w:pPr>
        <w:ind w:left="567"/>
      </w:pPr>
    </w:p>
    <w:p w:rsidR="0038240A" w:rsidRPr="0091220E" w:rsidRDefault="007F20F1" w:rsidP="00EF0CC6">
      <w:pPr>
        <w:ind w:left="284"/>
      </w:pPr>
      <w:r w:rsidRPr="0091220E">
        <w:t>Purpose: To provide an</w:t>
      </w:r>
      <w:r w:rsidR="0038240A" w:rsidRPr="0091220E">
        <w:t xml:space="preserve"> acti</w:t>
      </w:r>
      <w:r w:rsidR="00EF0CC6" w:rsidRPr="0091220E">
        <w:t>vity that can be used to enhance</w:t>
      </w:r>
      <w:r w:rsidR="0038240A" w:rsidRPr="0091220E">
        <w:t xml:space="preserve"> </w:t>
      </w:r>
      <w:r w:rsidR="00EF0CC6" w:rsidRPr="0091220E">
        <w:t xml:space="preserve">a </w:t>
      </w:r>
      <w:r w:rsidR="0038240A" w:rsidRPr="0091220E">
        <w:t>positive classroom community.</w:t>
      </w:r>
      <w:r w:rsidRPr="0091220E">
        <w:t xml:space="preserve"> </w:t>
      </w:r>
      <w:proofErr w:type="gramStart"/>
      <w:r w:rsidRPr="0091220E">
        <w:t>To look at modification options in activities and where or why they may be used.</w:t>
      </w:r>
      <w:proofErr w:type="gramEnd"/>
    </w:p>
    <w:p w:rsidR="006164AC" w:rsidRPr="0091220E" w:rsidRDefault="006164AC" w:rsidP="006164AC">
      <w:pPr>
        <w:ind w:left="567"/>
      </w:pPr>
    </w:p>
    <w:p w:rsidR="004A2D9F" w:rsidRPr="0091220E" w:rsidRDefault="007F20F1" w:rsidP="00191325">
      <w:pPr>
        <w:ind w:left="284" w:hanging="284"/>
      </w:pPr>
      <w:proofErr w:type="gramStart"/>
      <w:r w:rsidRPr="0091220E">
        <w:t>Bullying in the school.</w:t>
      </w:r>
      <w:proofErr w:type="gramEnd"/>
    </w:p>
    <w:p w:rsidR="0038240A" w:rsidRPr="0091220E" w:rsidRDefault="0038240A" w:rsidP="0038240A">
      <w:pPr>
        <w:ind w:left="567"/>
      </w:pPr>
    </w:p>
    <w:p w:rsidR="0038240A" w:rsidRPr="0091220E" w:rsidRDefault="0021211F" w:rsidP="0038240A">
      <w:pPr>
        <w:ind w:left="567"/>
      </w:pPr>
      <w:r>
        <w:t>Where a teacher may have direct control over behavior in the class room, general behaviours at school may be harder to monitor, and be subject to gr</w:t>
      </w:r>
      <w:r w:rsidR="00051037">
        <w:t>e</w:t>
      </w:r>
      <w:r>
        <w:t xml:space="preserve">ater outside influence. On November 9, 2005 the 136th episode (Season 9, episode 11) of Comedy Central's series </w:t>
      </w:r>
      <w:hyperlink r:id="rId7" w:tooltip="South Park" w:history="1">
        <w:r w:rsidRPr="0021211F">
          <w:rPr>
            <w:rStyle w:val="Hyperlink"/>
            <w:i/>
            <w:iCs/>
            <w:color w:val="auto"/>
          </w:rPr>
          <w:t>South Park</w:t>
        </w:r>
      </w:hyperlink>
      <w:r w:rsidRPr="0021211F">
        <w:rPr>
          <w:i/>
          <w:iCs/>
        </w:rPr>
        <w:t xml:space="preserve"> </w:t>
      </w:r>
      <w:r w:rsidRPr="0021211F">
        <w:t>aired</w:t>
      </w:r>
      <w:r>
        <w:t xml:space="preserve"> its episode titled “Ginger Kids”. </w:t>
      </w:r>
    </w:p>
    <w:p w:rsidR="00B15792" w:rsidRPr="00051037" w:rsidRDefault="00051037" w:rsidP="00051037">
      <w:pPr>
        <w:pStyle w:val="ListParagraph"/>
        <w:numPr>
          <w:ilvl w:val="0"/>
          <w:numId w:val="1"/>
        </w:numPr>
        <w:ind w:left="851" w:hanging="284"/>
        <w:rPr>
          <w:i/>
        </w:rPr>
      </w:pPr>
      <w:r w:rsidRPr="00051037">
        <w:rPr>
          <w:i/>
        </w:rPr>
        <w:t xml:space="preserve">Discussion Thought: </w:t>
      </w:r>
      <w:r>
        <w:rPr>
          <w:i/>
        </w:rPr>
        <w:t>South Park is an adult satirical program. How should an adult explain this type of humour to a child</w:t>
      </w:r>
      <w:r w:rsidR="00C14694">
        <w:rPr>
          <w:i/>
        </w:rPr>
        <w:t>/youth</w:t>
      </w:r>
      <w:r>
        <w:rPr>
          <w:i/>
        </w:rPr>
        <w:t xml:space="preserve">, and its actual intended moral message? </w:t>
      </w:r>
    </w:p>
    <w:p w:rsidR="00051037" w:rsidRDefault="00051037" w:rsidP="0038240A">
      <w:pPr>
        <w:ind w:left="567"/>
      </w:pPr>
    </w:p>
    <w:p w:rsidR="00191325" w:rsidRPr="0091220E" w:rsidRDefault="00537E26" w:rsidP="0038240A">
      <w:pPr>
        <w:ind w:left="567"/>
      </w:pPr>
      <w:r>
        <w:t xml:space="preserve">Zero Tolerance: Zero tolerance is one of the few items that, superficially, </w:t>
      </w:r>
      <w:proofErr w:type="gramStart"/>
      <w:r>
        <w:t>appears</w:t>
      </w:r>
      <w:proofErr w:type="gramEnd"/>
      <w:r>
        <w:t xml:space="preserve"> to have a fair amount of consensus that it is not an appropriate or effective anti-bullying technique. </w:t>
      </w:r>
      <w:r w:rsidR="007E1C3A">
        <w:t>However it also appears to have the same amount of support for its intent to treat everyone equally.</w:t>
      </w:r>
      <w:r>
        <w:t xml:space="preserve">  </w:t>
      </w:r>
    </w:p>
    <w:p w:rsidR="00C3618B" w:rsidRPr="00A6137B" w:rsidRDefault="00537E26" w:rsidP="00A6137B">
      <w:pPr>
        <w:pStyle w:val="ListParagraph"/>
        <w:numPr>
          <w:ilvl w:val="0"/>
          <w:numId w:val="1"/>
        </w:numPr>
        <w:ind w:left="851" w:hanging="284"/>
        <w:rPr>
          <w:i/>
        </w:rPr>
      </w:pPr>
      <w:r w:rsidRPr="00A6137B">
        <w:rPr>
          <w:i/>
        </w:rPr>
        <w:t>Discussion Thought:</w:t>
      </w:r>
      <w:r w:rsidR="00C3618B" w:rsidRPr="00A6137B">
        <w:rPr>
          <w:i/>
        </w:rPr>
        <w:t xml:space="preserve"> When do actions cross the line into criminal actions</w:t>
      </w:r>
      <w:r w:rsidRPr="00A6137B">
        <w:rPr>
          <w:i/>
        </w:rPr>
        <w:t>?</w:t>
      </w:r>
      <w:r w:rsidR="00C3618B" w:rsidRPr="00A6137B">
        <w:rPr>
          <w:i/>
        </w:rPr>
        <w:t>(Ex.: Fighting in sport(Hockey)/Violent sports (Kick Boxing))</w:t>
      </w:r>
      <w:r w:rsidRPr="00A6137B">
        <w:rPr>
          <w:i/>
        </w:rPr>
        <w:t xml:space="preserve"> </w:t>
      </w:r>
    </w:p>
    <w:p w:rsidR="00C3618B" w:rsidRDefault="00C3618B" w:rsidP="00A6137B">
      <w:pPr>
        <w:ind w:left="284"/>
      </w:pPr>
    </w:p>
    <w:p w:rsidR="00C3618B" w:rsidRPr="00C3618B" w:rsidRDefault="00C3618B" w:rsidP="00C3618B">
      <w:pPr>
        <w:ind w:left="284"/>
      </w:pPr>
      <w:r>
        <w:t xml:space="preserve">Purpose: ‘Kick a Ginger Day’, is used to </w:t>
      </w:r>
      <w:proofErr w:type="gramStart"/>
      <w:r>
        <w:t>illustrates</w:t>
      </w:r>
      <w:proofErr w:type="gramEnd"/>
      <w:r>
        <w:t xml:space="preserve"> how a</w:t>
      </w:r>
      <w:r w:rsidR="007E1C3A">
        <w:t xml:space="preserve"> negative</w:t>
      </w:r>
      <w:r>
        <w:t xml:space="preserve"> action can become a social norm </w:t>
      </w:r>
      <w:r w:rsidR="007E1C3A">
        <w:t xml:space="preserve">even </w:t>
      </w:r>
      <w:r>
        <w:t xml:space="preserve">without the </w:t>
      </w:r>
      <w:r w:rsidR="00F37155">
        <w:t xml:space="preserve">modern </w:t>
      </w:r>
      <w:r>
        <w:t>pre</w:t>
      </w:r>
      <w:r w:rsidR="007E1C3A">
        <w:t>judice actually being prevalent. Zero Tolerance is used to illustrate the difficulty in reconciling policy and practice</w:t>
      </w:r>
      <w:r w:rsidR="00F37155">
        <w:t xml:space="preserve"> / Intent and outcome</w:t>
      </w:r>
      <w:r w:rsidR="007E1C3A">
        <w:t xml:space="preserve">.  </w:t>
      </w:r>
    </w:p>
    <w:p w:rsidR="0021211F" w:rsidRDefault="0021211F" w:rsidP="00191325">
      <w:pPr>
        <w:ind w:left="284" w:hanging="284"/>
      </w:pPr>
    </w:p>
    <w:p w:rsidR="004A2D9F" w:rsidRPr="0091220E" w:rsidRDefault="0091220E" w:rsidP="00191325">
      <w:pPr>
        <w:ind w:left="284" w:hanging="284"/>
      </w:pPr>
      <w:r>
        <w:t xml:space="preserve">Addressing bullying </w:t>
      </w:r>
    </w:p>
    <w:p w:rsidR="004A2D9F" w:rsidRPr="0091220E" w:rsidRDefault="004A2D9F"/>
    <w:p w:rsidR="00351B7F" w:rsidRDefault="00351B7F" w:rsidP="00351B7F">
      <w:pPr>
        <w:ind w:left="567"/>
      </w:pPr>
      <w:r>
        <w:t>Incident Report Forms: Issues with the restrictions in recording incidents, where language, required neutrality, and privacy law, make it difficult to record or communicate whole incidents.</w:t>
      </w:r>
    </w:p>
    <w:p w:rsidR="00351B7F" w:rsidRDefault="00351B7F" w:rsidP="00351B7F">
      <w:pPr>
        <w:ind w:left="567"/>
      </w:pPr>
    </w:p>
    <w:p w:rsidR="00B15792" w:rsidRDefault="00A6137B" w:rsidP="00191325">
      <w:pPr>
        <w:ind w:left="567"/>
      </w:pPr>
      <w:r>
        <w:t>Relational (</w:t>
      </w:r>
      <w:r w:rsidR="007E1C3A" w:rsidRPr="0091220E">
        <w:t>Indirect</w:t>
      </w:r>
      <w:r>
        <w:t>)</w:t>
      </w:r>
      <w:r w:rsidR="007E1C3A">
        <w:t xml:space="preserve"> bullying:</w:t>
      </w:r>
      <w:r w:rsidR="00C97E55">
        <w:t xml:space="preserve"> </w:t>
      </w:r>
      <w:r w:rsidR="00F37155">
        <w:t>“The most difficult to detect from the outside, relational bullying is the systematic diminishment of a bullied child’s sense of self through ignoring, isolating, excluding, or shunning.” (</w:t>
      </w:r>
      <w:proofErr w:type="spellStart"/>
      <w:r w:rsidR="00F37155">
        <w:t>Coloroso</w:t>
      </w:r>
      <w:proofErr w:type="spellEnd"/>
      <w:r w:rsidR="00F37155">
        <w:t>, 2006)</w:t>
      </w:r>
    </w:p>
    <w:p w:rsidR="00FB33B8" w:rsidRDefault="00FB33B8" w:rsidP="00FB33B8">
      <w:pPr>
        <w:ind w:left="567"/>
      </w:pPr>
    </w:p>
    <w:p w:rsidR="00FB33B8" w:rsidRDefault="00FB33B8" w:rsidP="00FB33B8">
      <w:pPr>
        <w:ind w:left="567"/>
      </w:pPr>
      <w:r>
        <w:t xml:space="preserve">Skit – </w:t>
      </w:r>
      <w:r w:rsidR="00BA1006">
        <w:t>“Sugar and spice and everything nice</w:t>
      </w:r>
      <w:r>
        <w:t>”</w:t>
      </w:r>
    </w:p>
    <w:p w:rsidR="00351B7F" w:rsidRPr="00351B7F" w:rsidRDefault="00351B7F" w:rsidP="00351B7F">
      <w:pPr>
        <w:pStyle w:val="ListParagraph"/>
        <w:ind w:left="851"/>
      </w:pPr>
    </w:p>
    <w:p w:rsidR="00351B7F" w:rsidRPr="0091220E" w:rsidRDefault="00351B7F" w:rsidP="00351B7F">
      <w:pPr>
        <w:pStyle w:val="ListParagraph"/>
        <w:numPr>
          <w:ilvl w:val="0"/>
          <w:numId w:val="1"/>
        </w:numPr>
        <w:ind w:left="851" w:hanging="284"/>
      </w:pPr>
      <w:r w:rsidRPr="00C97E55">
        <w:rPr>
          <w:i/>
        </w:rPr>
        <w:t xml:space="preserve">Discussion Thought: </w:t>
      </w:r>
      <w:r>
        <w:rPr>
          <w:i/>
        </w:rPr>
        <w:t>Issues when the words, “just kidding” or “it was a joke” are an attempt to avoid responsibility for a statement or action’s effects rather than an understanding that the statement or action may have been inappropriate?</w:t>
      </w:r>
    </w:p>
    <w:p w:rsidR="00A6137B" w:rsidRDefault="00A6137B" w:rsidP="00A75981">
      <w:pPr>
        <w:ind w:left="284" w:hanging="284"/>
      </w:pPr>
    </w:p>
    <w:p w:rsidR="00F37155" w:rsidRDefault="00F37155" w:rsidP="00F37155">
      <w:pPr>
        <w:ind w:left="284"/>
      </w:pPr>
      <w:r>
        <w:t xml:space="preserve">Purpose: </w:t>
      </w:r>
      <w:r w:rsidR="00623E2D">
        <w:t xml:space="preserve">To provide a ‘real life’ situation, on which to test various responses to a bullying incident. </w:t>
      </w:r>
    </w:p>
    <w:p w:rsidR="00F37155" w:rsidRDefault="00F37155" w:rsidP="00A75981">
      <w:pPr>
        <w:ind w:left="284" w:hanging="284"/>
      </w:pPr>
    </w:p>
    <w:p w:rsidR="004A2D9F" w:rsidRDefault="00A6137B" w:rsidP="00A75981">
      <w:pPr>
        <w:ind w:left="284" w:hanging="284"/>
      </w:pPr>
      <w:r>
        <w:t xml:space="preserve">Conclusion </w:t>
      </w:r>
      <w:r w:rsidR="00BA1006">
        <w:t>and Discussion</w:t>
      </w:r>
    </w:p>
    <w:p w:rsidR="00234EDD" w:rsidRDefault="00234EDD" w:rsidP="00A75981">
      <w:pPr>
        <w:ind w:left="567"/>
      </w:pPr>
    </w:p>
    <w:p w:rsidR="00BA1006" w:rsidRDefault="00BA1006" w:rsidP="00234EDD">
      <w:r>
        <w:t>Video</w:t>
      </w:r>
      <w:r w:rsidR="00623E2D" w:rsidRPr="00351B7F">
        <w:t>:</w:t>
      </w:r>
      <w:r w:rsidR="00234EDD" w:rsidRPr="00351B7F">
        <w:rPr>
          <w:b/>
          <w:bCs/>
          <w:kern w:val="36"/>
          <w:sz w:val="44"/>
          <w:szCs w:val="44"/>
        </w:rPr>
        <w:t xml:space="preserve"> </w:t>
      </w:r>
      <w:r w:rsidR="00234EDD" w:rsidRPr="00351B7F">
        <w:rPr>
          <w:bCs/>
          <w:kern w:val="36"/>
        </w:rPr>
        <w:t>Prejudice by Tim Minchin</w:t>
      </w:r>
    </w:p>
    <w:p w:rsidR="004A2D9F" w:rsidRPr="0091220E" w:rsidRDefault="004A2D9F"/>
    <w:p w:rsidR="004A2D9F" w:rsidRPr="00BA1006" w:rsidRDefault="004A2D9F">
      <w:pPr>
        <w:rPr>
          <w:b/>
        </w:rPr>
      </w:pPr>
      <w:r w:rsidRPr="00BA1006">
        <w:rPr>
          <w:b/>
        </w:rPr>
        <w:t>References:</w:t>
      </w:r>
    </w:p>
    <w:p w:rsidR="00F730E7" w:rsidRDefault="00F730E7"/>
    <w:p w:rsidR="00E50D8B" w:rsidRDefault="00E50D8B" w:rsidP="00E50D8B">
      <w:pPr>
        <w:ind w:left="284" w:hanging="284"/>
      </w:pPr>
      <w:proofErr w:type="gramStart"/>
      <w:r>
        <w:t>Cassidy, W. (2010).</w:t>
      </w:r>
      <w:proofErr w:type="gramEnd"/>
      <w:r>
        <w:t xml:space="preserve"> </w:t>
      </w:r>
      <w:proofErr w:type="gramStart"/>
      <w:r>
        <w:t>From Zero Tolerance to a Culture of Care [Electronic Version]</w:t>
      </w:r>
      <w:r w:rsidR="00D01267">
        <w:t>.</w:t>
      </w:r>
      <w:proofErr w:type="gramEnd"/>
      <w:r w:rsidR="00D01267">
        <w:t xml:space="preserve"> </w:t>
      </w:r>
      <w:proofErr w:type="gramStart"/>
      <w:r w:rsidR="00D01267">
        <w:t>Education Canada Vol. 45 (3).</w:t>
      </w:r>
      <w:proofErr w:type="gramEnd"/>
      <w:r w:rsidR="00D01267">
        <w:t xml:space="preserve"> Retrieved May 27, 2012, from www.cea-ace.ca</w:t>
      </w:r>
    </w:p>
    <w:p w:rsidR="00E50D8B" w:rsidRDefault="00E50D8B" w:rsidP="00E50D8B">
      <w:pPr>
        <w:ind w:left="284" w:hanging="284"/>
      </w:pPr>
    </w:p>
    <w:p w:rsidR="007C15BF" w:rsidRPr="007C15BF" w:rsidRDefault="00E50D8B" w:rsidP="00E50D8B">
      <w:pPr>
        <w:ind w:left="284" w:hanging="284"/>
      </w:pPr>
      <w:proofErr w:type="spellStart"/>
      <w:r>
        <w:t>C</w:t>
      </w:r>
      <w:r w:rsidR="007C15BF">
        <w:t>oloroso</w:t>
      </w:r>
      <w:proofErr w:type="spellEnd"/>
      <w:r w:rsidR="007C15BF">
        <w:t xml:space="preserve">, B. (2002, 2006). </w:t>
      </w:r>
      <w:r w:rsidR="007C15BF">
        <w:rPr>
          <w:i/>
        </w:rPr>
        <w:t>The Bully, the Bullied, and the Bystander - From Pre-School to High School: How parents and Teachers Can Hel Break the Cycle of Violence</w:t>
      </w:r>
      <w:r w:rsidR="007C15BF">
        <w:t xml:space="preserve"> (pp. 17). Toronto, Canada</w:t>
      </w:r>
      <w:r>
        <w:t xml:space="preserve">: </w:t>
      </w:r>
      <w:proofErr w:type="spellStart"/>
      <w:r>
        <w:t>HarerCollins</w:t>
      </w:r>
      <w:proofErr w:type="spellEnd"/>
      <w:r>
        <w:t xml:space="preserve"> Publishers Ltd.</w:t>
      </w:r>
    </w:p>
    <w:p w:rsidR="007C15BF" w:rsidRDefault="007C15BF" w:rsidP="00E50D8B">
      <w:pPr>
        <w:ind w:left="284" w:hanging="284"/>
      </w:pPr>
    </w:p>
    <w:p w:rsidR="004A2D9F" w:rsidRPr="0091220E" w:rsidRDefault="004A2D9F" w:rsidP="00E50D8B">
      <w:pPr>
        <w:ind w:left="284" w:hanging="284"/>
      </w:pPr>
      <w:proofErr w:type="spellStart"/>
      <w:r w:rsidRPr="0091220E">
        <w:t>Froschl</w:t>
      </w:r>
      <w:proofErr w:type="spellEnd"/>
      <w:r w:rsidRPr="0091220E">
        <w:t xml:space="preserve">, M., </w:t>
      </w:r>
      <w:proofErr w:type="gramStart"/>
      <w:r w:rsidRPr="0091220E">
        <w:t>Sprung,</w:t>
      </w:r>
      <w:proofErr w:type="gramEnd"/>
      <w:r w:rsidRPr="0091220E">
        <w:t xml:space="preserve"> B., &amp;</w:t>
      </w:r>
      <w:r w:rsidR="00F730E7" w:rsidRPr="0091220E">
        <w:t xml:space="preserve"> </w:t>
      </w:r>
      <w:proofErr w:type="spellStart"/>
      <w:r w:rsidR="00F730E7" w:rsidRPr="0091220E">
        <w:t>Hinitz</w:t>
      </w:r>
      <w:proofErr w:type="spellEnd"/>
      <w:r w:rsidR="00F730E7" w:rsidRPr="0091220E">
        <w:t xml:space="preserve">, B. (2005). </w:t>
      </w:r>
      <w:proofErr w:type="gramStart"/>
      <w:r w:rsidR="00F730E7" w:rsidRPr="0091220E">
        <w:t>Teasing and Bullying Theme.</w:t>
      </w:r>
      <w:proofErr w:type="gramEnd"/>
      <w:r w:rsidR="00F730E7" w:rsidRPr="0091220E">
        <w:t xml:space="preserve"> </w:t>
      </w:r>
      <w:proofErr w:type="gramStart"/>
      <w:r w:rsidR="00F730E7" w:rsidRPr="0091220E">
        <w:rPr>
          <w:i/>
        </w:rPr>
        <w:t xml:space="preserve">The </w:t>
      </w:r>
      <w:proofErr w:type="spellStart"/>
      <w:r w:rsidR="00F730E7" w:rsidRPr="0091220E">
        <w:rPr>
          <w:i/>
        </w:rPr>
        <w:t>Ani</w:t>
      </w:r>
      <w:proofErr w:type="spellEnd"/>
      <w:r w:rsidR="00F730E7" w:rsidRPr="0091220E">
        <w:rPr>
          <w:i/>
        </w:rPr>
        <w:t xml:space="preserve">-Bullying and Teasing Book for </w:t>
      </w:r>
      <w:proofErr w:type="spellStart"/>
      <w:r w:rsidR="00F730E7" w:rsidRPr="0091220E">
        <w:rPr>
          <w:i/>
        </w:rPr>
        <w:t>Preschoool</w:t>
      </w:r>
      <w:proofErr w:type="spellEnd"/>
      <w:r w:rsidR="00F730E7" w:rsidRPr="0091220E">
        <w:rPr>
          <w:i/>
        </w:rPr>
        <w:t xml:space="preserve"> Classrooms</w:t>
      </w:r>
      <w:r w:rsidR="00F730E7" w:rsidRPr="0091220E">
        <w:t xml:space="preserve"> (pp. 87)</w:t>
      </w:r>
      <w:r w:rsidR="006164AC" w:rsidRPr="0091220E">
        <w:t>.</w:t>
      </w:r>
      <w:proofErr w:type="gramEnd"/>
      <w:r w:rsidR="006164AC" w:rsidRPr="0091220E">
        <w:t xml:space="preserve"> Beltsville, MD: Gryphon House</w:t>
      </w:r>
      <w:r w:rsidR="00F730E7" w:rsidRPr="0091220E">
        <w:t xml:space="preserve"> Inc.</w:t>
      </w:r>
    </w:p>
    <w:p w:rsidR="00541C0A" w:rsidRPr="0091220E" w:rsidRDefault="00541C0A" w:rsidP="00E50D8B">
      <w:pPr>
        <w:ind w:left="284" w:hanging="284"/>
      </w:pPr>
    </w:p>
    <w:p w:rsidR="00541C0A" w:rsidRPr="0091220E" w:rsidRDefault="00541C0A" w:rsidP="00E50D8B">
      <w:pPr>
        <w:ind w:left="284" w:hanging="284"/>
      </w:pPr>
      <w:proofErr w:type="gramStart"/>
      <w:r w:rsidRPr="0091220E">
        <w:t xml:space="preserve">Fox, D., &amp; </w:t>
      </w:r>
      <w:proofErr w:type="spellStart"/>
      <w:r w:rsidRPr="0091220E">
        <w:t>Beane</w:t>
      </w:r>
      <w:proofErr w:type="spellEnd"/>
      <w:r w:rsidRPr="0091220E">
        <w:t>, A.L. (2009).</w:t>
      </w:r>
      <w:proofErr w:type="gramEnd"/>
      <w:r w:rsidRPr="0091220E">
        <w:t xml:space="preserve"> </w:t>
      </w:r>
      <w:proofErr w:type="spellStart"/>
      <w:proofErr w:type="gramStart"/>
      <w:r w:rsidRPr="0091220E">
        <w:rPr>
          <w:i/>
        </w:rPr>
        <w:t>Bood</w:t>
      </w:r>
      <w:proofErr w:type="spellEnd"/>
      <w:r w:rsidRPr="0091220E">
        <w:rPr>
          <w:i/>
        </w:rPr>
        <w:t>-bye Bully Machine</w:t>
      </w:r>
      <w:r w:rsidRPr="0091220E">
        <w:t xml:space="preserve"> (pp. 3).</w:t>
      </w:r>
      <w:proofErr w:type="gramEnd"/>
      <w:r w:rsidRPr="0091220E">
        <w:t xml:space="preserve"> </w:t>
      </w:r>
      <w:r w:rsidR="006164AC" w:rsidRPr="0091220E">
        <w:t xml:space="preserve">Minneapolis, </w:t>
      </w:r>
      <w:proofErr w:type="spellStart"/>
      <w:r w:rsidR="006164AC" w:rsidRPr="0091220E">
        <w:t>MD</w:t>
      </w:r>
      <w:proofErr w:type="gramStart"/>
      <w:r w:rsidR="006164AC" w:rsidRPr="0091220E">
        <w:t>:Free</w:t>
      </w:r>
      <w:proofErr w:type="spellEnd"/>
      <w:proofErr w:type="gramEnd"/>
      <w:r w:rsidR="006164AC" w:rsidRPr="0091220E">
        <w:t xml:space="preserve"> Spirit Publishing Inc.</w:t>
      </w:r>
    </w:p>
    <w:p w:rsidR="00822952" w:rsidRPr="0091220E" w:rsidRDefault="00822952" w:rsidP="007C15BF">
      <w:pPr>
        <w:ind w:left="284" w:hanging="284"/>
      </w:pPr>
    </w:p>
    <w:p w:rsidR="00822952" w:rsidRPr="0091220E" w:rsidRDefault="00234EDD" w:rsidP="007C15BF">
      <w:pPr>
        <w:ind w:left="284" w:hanging="284"/>
      </w:pPr>
      <w:proofErr w:type="spellStart"/>
      <w:proofErr w:type="gramStart"/>
      <w:r>
        <w:t>Mishna</w:t>
      </w:r>
      <w:proofErr w:type="spellEnd"/>
      <w:r>
        <w:t xml:space="preserve">, F., </w:t>
      </w:r>
      <w:proofErr w:type="spellStart"/>
      <w:r>
        <w:t>Scarcello</w:t>
      </w:r>
      <w:proofErr w:type="spellEnd"/>
      <w:r>
        <w:t xml:space="preserve">, I., </w:t>
      </w:r>
      <w:proofErr w:type="spellStart"/>
      <w:r>
        <w:t>Pepler</w:t>
      </w:r>
      <w:proofErr w:type="spellEnd"/>
      <w:r>
        <w:t>, D., &amp; Wiener, J. (2005).</w:t>
      </w:r>
      <w:proofErr w:type="gramEnd"/>
      <w:r>
        <w:t xml:space="preserve"> </w:t>
      </w:r>
      <w:proofErr w:type="gramStart"/>
      <w:r>
        <w:t>Teachers' Understanding of Bullying.</w:t>
      </w:r>
      <w:proofErr w:type="gramEnd"/>
      <w:r>
        <w:t xml:space="preserve"> </w:t>
      </w:r>
      <w:proofErr w:type="gramStart"/>
      <w:r>
        <w:rPr>
          <w:i/>
          <w:iCs/>
        </w:rPr>
        <w:t>Canadian Journal of Education, 28, 4.</w:t>
      </w:r>
      <w:proofErr w:type="gramEnd"/>
      <w:r>
        <w:rPr>
          <w:i/>
          <w:iCs/>
        </w:rPr>
        <w:t xml:space="preserve"> </w:t>
      </w:r>
      <w:proofErr w:type="gramStart"/>
      <w:r>
        <w:t>Retrieved from</w:t>
      </w:r>
      <w:r>
        <w:rPr>
          <w:i/>
          <w:iCs/>
        </w:rPr>
        <w:t xml:space="preserve"> </w:t>
      </w:r>
      <w:hyperlink r:id="rId8" w:tgtFrame="_blank" w:history="1">
        <w:r>
          <w:rPr>
            <w:rStyle w:val="Hyperlink"/>
          </w:rPr>
          <w:t>http://www.csse-scee.ca/CJE/Articles/FullText/CJE28-4/CJE28-4-mishnaetal.pdf</w:t>
        </w:r>
      </w:hyperlink>
      <w:r>
        <w:t>.</w:t>
      </w:r>
      <w:proofErr w:type="gramEnd"/>
    </w:p>
    <w:p w:rsidR="00234EDD" w:rsidRDefault="00234EDD" w:rsidP="00234EDD">
      <w:pPr>
        <w:ind w:left="567"/>
      </w:pPr>
    </w:p>
    <w:p w:rsidR="00D01267" w:rsidRPr="00CC08EA" w:rsidRDefault="00D01267" w:rsidP="00CC08EA">
      <w:pPr>
        <w:ind w:left="284" w:hanging="284"/>
      </w:pPr>
      <w:r w:rsidRPr="00CC08EA">
        <w:t>Liberalbias100</w:t>
      </w:r>
      <w:r w:rsidR="00234EDD" w:rsidRPr="00CC08EA">
        <w:t xml:space="preserve"> </w:t>
      </w:r>
      <w:r w:rsidRPr="00CC08EA">
        <w:t>(2008, November 22). South Park’s Kick a Ginger Day leads to Hate Crimes Charges [Video File]. Re</w:t>
      </w:r>
      <w:r w:rsidR="00CC08EA" w:rsidRPr="00CC08EA">
        <w:t xml:space="preserve">trieved from </w:t>
      </w:r>
      <w:hyperlink r:id="rId9" w:history="1">
        <w:r w:rsidR="00CC08EA" w:rsidRPr="00CC08EA">
          <w:rPr>
            <w:rStyle w:val="Hyperlink"/>
          </w:rPr>
          <w:t>http://www.youtube.com/watch?v=EBOjl8lG9GI</w:t>
        </w:r>
      </w:hyperlink>
    </w:p>
    <w:p w:rsidR="00CC08EA" w:rsidRPr="00CC08EA" w:rsidRDefault="00CC08EA" w:rsidP="00CC08EA">
      <w:pPr>
        <w:shd w:val="clear" w:color="auto" w:fill="FFFFFF"/>
        <w:ind w:left="284" w:hanging="284"/>
        <w:rPr>
          <w:rFonts w:eastAsia="Times New Roman"/>
          <w:lang w:eastAsia="en-CA"/>
        </w:rPr>
      </w:pPr>
    </w:p>
    <w:p w:rsidR="00CC08EA" w:rsidRPr="00CC08EA" w:rsidRDefault="00CC08EA" w:rsidP="00CC08EA">
      <w:pPr>
        <w:shd w:val="clear" w:color="auto" w:fill="FFFFFF"/>
        <w:ind w:left="284" w:hanging="284"/>
        <w:rPr>
          <w:rFonts w:eastAsia="Times New Roman"/>
          <w:lang w:eastAsia="en-CA"/>
        </w:rPr>
      </w:pPr>
      <w:proofErr w:type="spellStart"/>
      <w:r w:rsidRPr="00CC08EA">
        <w:rPr>
          <w:rFonts w:eastAsia="Times New Roman"/>
          <w:lang w:eastAsia="en-CA"/>
        </w:rPr>
        <w:t>Timminchin</w:t>
      </w:r>
      <w:proofErr w:type="spellEnd"/>
      <w:r w:rsidRPr="00CC08EA">
        <w:rPr>
          <w:rFonts w:eastAsia="Times New Roman"/>
          <w:lang w:eastAsia="en-CA"/>
        </w:rPr>
        <w:t xml:space="preserve"> (2010, March 4). Prejudice by Tim Minchin [Video File]. Retrieved from </w:t>
      </w:r>
      <w:hyperlink r:id="rId10" w:history="1">
        <w:r w:rsidRPr="00CC08EA">
          <w:rPr>
            <w:rStyle w:val="Hyperlink"/>
          </w:rPr>
          <w:t>http://www.youtube.com/watch?v=KVN_0qvuhhw&amp;feature=relmfu</w:t>
        </w:r>
      </w:hyperlink>
    </w:p>
    <w:p w:rsidR="00CC08EA" w:rsidRDefault="00CC08EA" w:rsidP="00CC08EA">
      <w:pPr>
        <w:shd w:val="clear" w:color="auto" w:fill="FFFFFF"/>
        <w:rPr>
          <w:rFonts w:ascii="Arial" w:eastAsia="Times New Roman" w:hAnsi="Arial" w:cs="Arial"/>
          <w:sz w:val="18"/>
          <w:szCs w:val="18"/>
          <w:lang w:eastAsia="en-CA"/>
        </w:rPr>
      </w:pPr>
    </w:p>
    <w:sectPr w:rsidR="00CC08EA" w:rsidSect="006B2F7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7A" w:rsidRDefault="00FE447A" w:rsidP="00ED2107">
      <w:r>
        <w:separator/>
      </w:r>
    </w:p>
  </w:endnote>
  <w:endnote w:type="continuationSeparator" w:id="0">
    <w:p w:rsidR="00FE447A" w:rsidRDefault="00FE447A" w:rsidP="00ED2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487"/>
      <w:docPartObj>
        <w:docPartGallery w:val="Page Numbers (Bottom of Page)"/>
        <w:docPartUnique/>
      </w:docPartObj>
    </w:sdtPr>
    <w:sdtContent>
      <w:p w:rsidR="00D01267" w:rsidRDefault="006D03F5">
        <w:pPr>
          <w:pStyle w:val="Footer"/>
          <w:jc w:val="right"/>
        </w:pPr>
        <w:fldSimple w:instr=" PAGE   \* MERGEFORMAT ">
          <w:r w:rsidR="001029D6">
            <w:rPr>
              <w:noProof/>
            </w:rPr>
            <w:t>1</w:t>
          </w:r>
        </w:fldSimple>
      </w:p>
    </w:sdtContent>
  </w:sdt>
  <w:p w:rsidR="00D01267" w:rsidRDefault="00D01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7A" w:rsidRDefault="00FE447A" w:rsidP="00ED2107">
      <w:r>
        <w:separator/>
      </w:r>
    </w:p>
  </w:footnote>
  <w:footnote w:type="continuationSeparator" w:id="0">
    <w:p w:rsidR="00FE447A" w:rsidRDefault="00FE447A" w:rsidP="00ED2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1"/>
      <w:gridCol w:w="5101"/>
    </w:tblGrid>
    <w:tr w:rsidR="00D01267" w:rsidTr="00ED2107">
      <w:tc>
        <w:tcPr>
          <w:tcW w:w="5531" w:type="dxa"/>
        </w:tcPr>
        <w:p w:rsidR="00D01267" w:rsidRPr="00ED2107" w:rsidRDefault="00D01267" w:rsidP="00ED2107">
          <w:pPr>
            <w:ind w:left="567" w:hanging="567"/>
            <w:rPr>
              <w:sz w:val="16"/>
              <w:szCs w:val="16"/>
            </w:rPr>
          </w:pPr>
          <w:r w:rsidRPr="00ED2107">
            <w:rPr>
              <w:sz w:val="16"/>
              <w:szCs w:val="16"/>
            </w:rPr>
            <w:t xml:space="preserve">Alexandra </w:t>
          </w:r>
          <w:proofErr w:type="spellStart"/>
          <w:r w:rsidRPr="00ED2107">
            <w:rPr>
              <w:sz w:val="16"/>
              <w:szCs w:val="16"/>
            </w:rPr>
            <w:t>Pletch</w:t>
          </w:r>
          <w:proofErr w:type="spellEnd"/>
          <w:r w:rsidRPr="00ED2107">
            <w:rPr>
              <w:sz w:val="16"/>
              <w:szCs w:val="16"/>
            </w:rPr>
            <w:t xml:space="preserve"> </w:t>
          </w:r>
        </w:p>
        <w:p w:rsidR="00D01267" w:rsidRPr="00ED2107" w:rsidRDefault="00D01267" w:rsidP="00ED2107">
          <w:pPr>
            <w:ind w:left="567" w:hanging="567"/>
            <w:rPr>
              <w:sz w:val="16"/>
              <w:szCs w:val="16"/>
            </w:rPr>
          </w:pPr>
          <w:r w:rsidRPr="00ED2107">
            <w:rPr>
              <w:sz w:val="16"/>
              <w:szCs w:val="16"/>
            </w:rPr>
            <w:t xml:space="preserve">Kimberly </w:t>
          </w:r>
          <w:proofErr w:type="spellStart"/>
          <w:r w:rsidRPr="00ED2107">
            <w:rPr>
              <w:sz w:val="16"/>
              <w:szCs w:val="16"/>
            </w:rPr>
            <w:t>Soutiere</w:t>
          </w:r>
          <w:proofErr w:type="spellEnd"/>
          <w:r w:rsidRPr="00ED2107">
            <w:rPr>
              <w:sz w:val="16"/>
              <w:szCs w:val="16"/>
            </w:rPr>
            <w:t xml:space="preserve"> </w:t>
          </w:r>
        </w:p>
        <w:p w:rsidR="00D01267" w:rsidRPr="00ED2107" w:rsidRDefault="00D01267" w:rsidP="00ED2107">
          <w:pPr>
            <w:ind w:left="567" w:hanging="567"/>
            <w:rPr>
              <w:sz w:val="16"/>
              <w:szCs w:val="16"/>
            </w:rPr>
          </w:pPr>
          <w:r w:rsidRPr="00ED2107">
            <w:rPr>
              <w:sz w:val="16"/>
              <w:szCs w:val="16"/>
            </w:rPr>
            <w:t xml:space="preserve">Andrea </w:t>
          </w:r>
          <w:proofErr w:type="spellStart"/>
          <w:r w:rsidRPr="00ED2107">
            <w:rPr>
              <w:sz w:val="16"/>
              <w:szCs w:val="16"/>
            </w:rPr>
            <w:t>Ziel</w:t>
          </w:r>
          <w:proofErr w:type="spellEnd"/>
        </w:p>
      </w:tc>
      <w:tc>
        <w:tcPr>
          <w:tcW w:w="5101" w:type="dxa"/>
        </w:tcPr>
        <w:p w:rsidR="00D01267" w:rsidRPr="00ED2107" w:rsidRDefault="00D01267" w:rsidP="00ED2107">
          <w:pPr>
            <w:pStyle w:val="Header"/>
            <w:jc w:val="right"/>
            <w:rPr>
              <w:sz w:val="16"/>
              <w:szCs w:val="16"/>
            </w:rPr>
          </w:pPr>
          <w:r w:rsidRPr="00ED2107">
            <w:rPr>
              <w:sz w:val="16"/>
              <w:szCs w:val="16"/>
            </w:rPr>
            <w:t>May 28, 2012</w:t>
          </w:r>
        </w:p>
        <w:p w:rsidR="00D01267" w:rsidRDefault="00D01267" w:rsidP="00ED2107">
          <w:pPr>
            <w:jc w:val="right"/>
            <w:rPr>
              <w:sz w:val="16"/>
              <w:szCs w:val="16"/>
            </w:rPr>
          </w:pPr>
          <w:r w:rsidRPr="00ED2107">
            <w:rPr>
              <w:sz w:val="16"/>
              <w:szCs w:val="16"/>
            </w:rPr>
            <w:t xml:space="preserve">Education 2500 – University of </w:t>
          </w:r>
          <w:proofErr w:type="spellStart"/>
          <w:r w:rsidRPr="00ED2107">
            <w:rPr>
              <w:sz w:val="16"/>
              <w:szCs w:val="16"/>
            </w:rPr>
            <w:t>Lethbridge</w:t>
          </w:r>
          <w:proofErr w:type="spellEnd"/>
        </w:p>
        <w:p w:rsidR="00D01267" w:rsidRPr="00ED2107" w:rsidRDefault="00D01267" w:rsidP="00ED2107">
          <w:pPr>
            <w:jc w:val="right"/>
            <w:rPr>
              <w:sz w:val="16"/>
              <w:szCs w:val="16"/>
            </w:rPr>
          </w:pPr>
          <w:r>
            <w:rPr>
              <w:sz w:val="16"/>
              <w:szCs w:val="16"/>
            </w:rPr>
            <w:t>Educational Issues Presentation: Bullying</w:t>
          </w:r>
        </w:p>
      </w:tc>
    </w:tr>
  </w:tbl>
  <w:p w:rsidR="00D01267" w:rsidRDefault="00D01267" w:rsidP="00ED2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0E3"/>
    <w:multiLevelType w:val="hybridMultilevel"/>
    <w:tmpl w:val="9FA4D502"/>
    <w:lvl w:ilvl="0" w:tplc="10090001">
      <w:start w:val="1"/>
      <w:numFmt w:val="bullet"/>
      <w:lvlText w:val=""/>
      <w:lvlJc w:val="left"/>
      <w:pPr>
        <w:ind w:left="1287" w:hanging="360"/>
      </w:pPr>
      <w:rPr>
        <w:rFonts w:ascii="Symbol" w:hAnsi="Symbol" w:hint="default"/>
      </w:rPr>
    </w:lvl>
    <w:lvl w:ilvl="1" w:tplc="2C948096">
      <w:numFmt w:val="bullet"/>
      <w:lvlText w:val="-"/>
      <w:lvlJc w:val="left"/>
      <w:pPr>
        <w:ind w:left="2007" w:hanging="360"/>
      </w:pPr>
      <w:rPr>
        <w:rFonts w:ascii="Times New Roman" w:eastAsiaTheme="minorHAnsi" w:hAnsi="Times New Roman" w:cs="Times New Roman"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114652BE"/>
    <w:multiLevelType w:val="hybridMultilevel"/>
    <w:tmpl w:val="0712A74A"/>
    <w:lvl w:ilvl="0" w:tplc="10090001">
      <w:start w:val="1"/>
      <w:numFmt w:val="bullet"/>
      <w:lvlText w:val=""/>
      <w:lvlJc w:val="left"/>
      <w:pPr>
        <w:ind w:left="2367" w:hanging="360"/>
      </w:pPr>
      <w:rPr>
        <w:rFonts w:ascii="Symbol" w:hAnsi="Symbol" w:hint="default"/>
      </w:rPr>
    </w:lvl>
    <w:lvl w:ilvl="1" w:tplc="10090003" w:tentative="1">
      <w:start w:val="1"/>
      <w:numFmt w:val="bullet"/>
      <w:lvlText w:val="o"/>
      <w:lvlJc w:val="left"/>
      <w:pPr>
        <w:ind w:left="3087" w:hanging="360"/>
      </w:pPr>
      <w:rPr>
        <w:rFonts w:ascii="Courier New" w:hAnsi="Courier New" w:cs="Courier New" w:hint="default"/>
      </w:rPr>
    </w:lvl>
    <w:lvl w:ilvl="2" w:tplc="10090005" w:tentative="1">
      <w:start w:val="1"/>
      <w:numFmt w:val="bullet"/>
      <w:lvlText w:val=""/>
      <w:lvlJc w:val="left"/>
      <w:pPr>
        <w:ind w:left="3807" w:hanging="360"/>
      </w:pPr>
      <w:rPr>
        <w:rFonts w:ascii="Wingdings" w:hAnsi="Wingdings" w:hint="default"/>
      </w:rPr>
    </w:lvl>
    <w:lvl w:ilvl="3" w:tplc="10090001" w:tentative="1">
      <w:start w:val="1"/>
      <w:numFmt w:val="bullet"/>
      <w:lvlText w:val=""/>
      <w:lvlJc w:val="left"/>
      <w:pPr>
        <w:ind w:left="4527" w:hanging="360"/>
      </w:pPr>
      <w:rPr>
        <w:rFonts w:ascii="Symbol" w:hAnsi="Symbol" w:hint="default"/>
      </w:rPr>
    </w:lvl>
    <w:lvl w:ilvl="4" w:tplc="10090003" w:tentative="1">
      <w:start w:val="1"/>
      <w:numFmt w:val="bullet"/>
      <w:lvlText w:val="o"/>
      <w:lvlJc w:val="left"/>
      <w:pPr>
        <w:ind w:left="5247" w:hanging="360"/>
      </w:pPr>
      <w:rPr>
        <w:rFonts w:ascii="Courier New" w:hAnsi="Courier New" w:cs="Courier New" w:hint="default"/>
      </w:rPr>
    </w:lvl>
    <w:lvl w:ilvl="5" w:tplc="10090005" w:tentative="1">
      <w:start w:val="1"/>
      <w:numFmt w:val="bullet"/>
      <w:lvlText w:val=""/>
      <w:lvlJc w:val="left"/>
      <w:pPr>
        <w:ind w:left="5967" w:hanging="360"/>
      </w:pPr>
      <w:rPr>
        <w:rFonts w:ascii="Wingdings" w:hAnsi="Wingdings" w:hint="default"/>
      </w:rPr>
    </w:lvl>
    <w:lvl w:ilvl="6" w:tplc="10090001" w:tentative="1">
      <w:start w:val="1"/>
      <w:numFmt w:val="bullet"/>
      <w:lvlText w:val=""/>
      <w:lvlJc w:val="left"/>
      <w:pPr>
        <w:ind w:left="6687" w:hanging="360"/>
      </w:pPr>
      <w:rPr>
        <w:rFonts w:ascii="Symbol" w:hAnsi="Symbol" w:hint="default"/>
      </w:rPr>
    </w:lvl>
    <w:lvl w:ilvl="7" w:tplc="10090003" w:tentative="1">
      <w:start w:val="1"/>
      <w:numFmt w:val="bullet"/>
      <w:lvlText w:val="o"/>
      <w:lvlJc w:val="left"/>
      <w:pPr>
        <w:ind w:left="7407" w:hanging="360"/>
      </w:pPr>
      <w:rPr>
        <w:rFonts w:ascii="Courier New" w:hAnsi="Courier New" w:cs="Courier New" w:hint="default"/>
      </w:rPr>
    </w:lvl>
    <w:lvl w:ilvl="8" w:tplc="10090005" w:tentative="1">
      <w:start w:val="1"/>
      <w:numFmt w:val="bullet"/>
      <w:lvlText w:val=""/>
      <w:lvlJc w:val="left"/>
      <w:pPr>
        <w:ind w:left="8127" w:hanging="360"/>
      </w:pPr>
      <w:rPr>
        <w:rFonts w:ascii="Wingdings" w:hAnsi="Wingdings" w:hint="default"/>
      </w:rPr>
    </w:lvl>
  </w:abstractNum>
  <w:abstractNum w:abstractNumId="2">
    <w:nsid w:val="22984A6E"/>
    <w:multiLevelType w:val="hybridMultilevel"/>
    <w:tmpl w:val="9E6C3AC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nsid w:val="2A6D454D"/>
    <w:multiLevelType w:val="hybridMultilevel"/>
    <w:tmpl w:val="A6F2044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nsid w:val="3AFC0EF6"/>
    <w:multiLevelType w:val="hybridMultilevel"/>
    <w:tmpl w:val="3E744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F112F"/>
    <w:multiLevelType w:val="hybridMultilevel"/>
    <w:tmpl w:val="CE727FF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nsid w:val="5DED2243"/>
    <w:multiLevelType w:val="hybridMultilevel"/>
    <w:tmpl w:val="4F909D1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nsid w:val="789E18F0"/>
    <w:multiLevelType w:val="hybridMultilevel"/>
    <w:tmpl w:val="D76A7F7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2D9F"/>
    <w:rsid w:val="00051037"/>
    <w:rsid w:val="0007595A"/>
    <w:rsid w:val="001029D6"/>
    <w:rsid w:val="00103E43"/>
    <w:rsid w:val="00146175"/>
    <w:rsid w:val="001833EE"/>
    <w:rsid w:val="00191325"/>
    <w:rsid w:val="00197490"/>
    <w:rsid w:val="001B6396"/>
    <w:rsid w:val="001D605C"/>
    <w:rsid w:val="0021211F"/>
    <w:rsid w:val="00234EDD"/>
    <w:rsid w:val="002903C5"/>
    <w:rsid w:val="00351B7F"/>
    <w:rsid w:val="0038240A"/>
    <w:rsid w:val="004424F3"/>
    <w:rsid w:val="004A2D9F"/>
    <w:rsid w:val="00537E26"/>
    <w:rsid w:val="00541C0A"/>
    <w:rsid w:val="006164AC"/>
    <w:rsid w:val="00623E2D"/>
    <w:rsid w:val="006866D3"/>
    <w:rsid w:val="006B2F75"/>
    <w:rsid w:val="006D03F5"/>
    <w:rsid w:val="0072345A"/>
    <w:rsid w:val="007C15BF"/>
    <w:rsid w:val="007E1C3A"/>
    <w:rsid w:val="007F20F1"/>
    <w:rsid w:val="008069E8"/>
    <w:rsid w:val="00822952"/>
    <w:rsid w:val="008318B5"/>
    <w:rsid w:val="0091220E"/>
    <w:rsid w:val="00913683"/>
    <w:rsid w:val="00951A9B"/>
    <w:rsid w:val="00961E02"/>
    <w:rsid w:val="009972CE"/>
    <w:rsid w:val="00A54E47"/>
    <w:rsid w:val="00A6137B"/>
    <w:rsid w:val="00A75981"/>
    <w:rsid w:val="00B10780"/>
    <w:rsid w:val="00B15792"/>
    <w:rsid w:val="00BA1006"/>
    <w:rsid w:val="00BB2522"/>
    <w:rsid w:val="00C038BF"/>
    <w:rsid w:val="00C14694"/>
    <w:rsid w:val="00C3618B"/>
    <w:rsid w:val="00C452F5"/>
    <w:rsid w:val="00C51603"/>
    <w:rsid w:val="00C97E55"/>
    <w:rsid w:val="00CC08EA"/>
    <w:rsid w:val="00D01267"/>
    <w:rsid w:val="00D309B9"/>
    <w:rsid w:val="00DF7EB1"/>
    <w:rsid w:val="00E06BBE"/>
    <w:rsid w:val="00E50D8B"/>
    <w:rsid w:val="00ED2107"/>
    <w:rsid w:val="00EF0CC6"/>
    <w:rsid w:val="00F37155"/>
    <w:rsid w:val="00F54B14"/>
    <w:rsid w:val="00F730E7"/>
    <w:rsid w:val="00FB33B8"/>
    <w:rsid w:val="00FE44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07"/>
    <w:pPr>
      <w:tabs>
        <w:tab w:val="center" w:pos="4680"/>
        <w:tab w:val="right" w:pos="9360"/>
      </w:tabs>
    </w:pPr>
  </w:style>
  <w:style w:type="character" w:customStyle="1" w:styleId="HeaderChar">
    <w:name w:val="Header Char"/>
    <w:basedOn w:val="DefaultParagraphFont"/>
    <w:link w:val="Header"/>
    <w:uiPriority w:val="99"/>
    <w:rsid w:val="00ED2107"/>
  </w:style>
  <w:style w:type="paragraph" w:styleId="Footer">
    <w:name w:val="footer"/>
    <w:basedOn w:val="Normal"/>
    <w:link w:val="FooterChar"/>
    <w:uiPriority w:val="99"/>
    <w:unhideWhenUsed/>
    <w:rsid w:val="00ED2107"/>
    <w:pPr>
      <w:tabs>
        <w:tab w:val="center" w:pos="4680"/>
        <w:tab w:val="right" w:pos="9360"/>
      </w:tabs>
    </w:pPr>
  </w:style>
  <w:style w:type="character" w:customStyle="1" w:styleId="FooterChar">
    <w:name w:val="Footer Char"/>
    <w:basedOn w:val="DefaultParagraphFont"/>
    <w:link w:val="Footer"/>
    <w:uiPriority w:val="99"/>
    <w:rsid w:val="00ED2107"/>
  </w:style>
  <w:style w:type="table" w:styleId="TableGrid">
    <w:name w:val="Table Grid"/>
    <w:basedOn w:val="TableNormal"/>
    <w:uiPriority w:val="59"/>
    <w:rsid w:val="00ED2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05C"/>
    <w:pPr>
      <w:ind w:left="720"/>
      <w:contextualSpacing/>
    </w:pPr>
  </w:style>
  <w:style w:type="character" w:styleId="Hyperlink">
    <w:name w:val="Hyperlink"/>
    <w:basedOn w:val="DefaultParagraphFont"/>
    <w:uiPriority w:val="99"/>
    <w:unhideWhenUsed/>
    <w:rsid w:val="009122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488772">
      <w:bodyDiv w:val="1"/>
      <w:marLeft w:val="0"/>
      <w:marRight w:val="0"/>
      <w:marTop w:val="0"/>
      <w:marBottom w:val="0"/>
      <w:divBdr>
        <w:top w:val="none" w:sz="0" w:space="0" w:color="auto"/>
        <w:left w:val="none" w:sz="0" w:space="0" w:color="auto"/>
        <w:bottom w:val="none" w:sz="0" w:space="0" w:color="auto"/>
        <w:right w:val="none" w:sz="0" w:space="0" w:color="auto"/>
      </w:divBdr>
      <w:divsChild>
        <w:div w:id="381367807">
          <w:marLeft w:val="0"/>
          <w:marRight w:val="0"/>
          <w:marTop w:val="0"/>
          <w:marBottom w:val="0"/>
          <w:divBdr>
            <w:top w:val="none" w:sz="0" w:space="0" w:color="auto"/>
            <w:left w:val="none" w:sz="0" w:space="0" w:color="auto"/>
            <w:bottom w:val="none" w:sz="0" w:space="0" w:color="auto"/>
            <w:right w:val="none" w:sz="0" w:space="0" w:color="auto"/>
          </w:divBdr>
          <w:divsChild>
            <w:div w:id="1382243802">
              <w:marLeft w:val="0"/>
              <w:marRight w:val="120"/>
              <w:marTop w:val="0"/>
              <w:marBottom w:val="0"/>
              <w:divBdr>
                <w:top w:val="none" w:sz="0" w:space="0" w:color="auto"/>
                <w:left w:val="none" w:sz="0" w:space="0" w:color="auto"/>
                <w:bottom w:val="none" w:sz="0" w:space="0" w:color="auto"/>
                <w:right w:val="none" w:sz="0" w:space="0" w:color="auto"/>
              </w:divBdr>
              <w:divsChild>
                <w:div w:id="1551190066">
                  <w:marLeft w:val="0"/>
                  <w:marRight w:val="0"/>
                  <w:marTop w:val="0"/>
                  <w:marBottom w:val="0"/>
                  <w:divBdr>
                    <w:top w:val="none" w:sz="0" w:space="0" w:color="auto"/>
                    <w:left w:val="none" w:sz="0" w:space="0" w:color="auto"/>
                    <w:bottom w:val="none" w:sz="0" w:space="0" w:color="auto"/>
                    <w:right w:val="none" w:sz="0" w:space="0" w:color="auto"/>
                  </w:divBdr>
                  <w:divsChild>
                    <w:div w:id="559563840">
                      <w:marLeft w:val="0"/>
                      <w:marRight w:val="0"/>
                      <w:marTop w:val="0"/>
                      <w:marBottom w:val="0"/>
                      <w:divBdr>
                        <w:top w:val="none" w:sz="0" w:space="0" w:color="auto"/>
                        <w:left w:val="none" w:sz="0" w:space="0" w:color="auto"/>
                        <w:bottom w:val="none" w:sz="0" w:space="0" w:color="auto"/>
                        <w:right w:val="none" w:sz="0" w:space="0" w:color="auto"/>
                      </w:divBdr>
                      <w:divsChild>
                        <w:div w:id="951742619">
                          <w:marLeft w:val="0"/>
                          <w:marRight w:val="0"/>
                          <w:marTop w:val="0"/>
                          <w:marBottom w:val="0"/>
                          <w:divBdr>
                            <w:top w:val="none" w:sz="0" w:space="0" w:color="auto"/>
                            <w:left w:val="none" w:sz="0" w:space="0" w:color="auto"/>
                            <w:bottom w:val="none" w:sz="0" w:space="0" w:color="auto"/>
                            <w:right w:val="none" w:sz="0" w:space="0" w:color="auto"/>
                          </w:divBdr>
                          <w:divsChild>
                            <w:div w:id="1912885392">
                              <w:marLeft w:val="0"/>
                              <w:marRight w:val="0"/>
                              <w:marTop w:val="0"/>
                              <w:marBottom w:val="0"/>
                              <w:divBdr>
                                <w:top w:val="none" w:sz="0" w:space="0" w:color="auto"/>
                                <w:left w:val="none" w:sz="0" w:space="0" w:color="auto"/>
                                <w:bottom w:val="none" w:sz="0" w:space="0" w:color="auto"/>
                                <w:right w:val="none" w:sz="0" w:space="0" w:color="auto"/>
                              </w:divBdr>
                              <w:divsChild>
                                <w:div w:id="1776244241">
                                  <w:marLeft w:val="0"/>
                                  <w:marRight w:val="0"/>
                                  <w:marTop w:val="0"/>
                                  <w:marBottom w:val="0"/>
                                  <w:divBdr>
                                    <w:top w:val="none" w:sz="0" w:space="0" w:color="auto"/>
                                    <w:left w:val="none" w:sz="0" w:space="0" w:color="auto"/>
                                    <w:bottom w:val="none" w:sz="0" w:space="0" w:color="auto"/>
                                    <w:right w:val="none" w:sz="0" w:space="0" w:color="auto"/>
                                  </w:divBdr>
                                  <w:divsChild>
                                    <w:div w:id="75708843">
                                      <w:marLeft w:val="0"/>
                                      <w:marRight w:val="0"/>
                                      <w:marTop w:val="0"/>
                                      <w:marBottom w:val="0"/>
                                      <w:divBdr>
                                        <w:top w:val="none" w:sz="0" w:space="0" w:color="auto"/>
                                        <w:left w:val="none" w:sz="0" w:space="0" w:color="auto"/>
                                        <w:bottom w:val="none" w:sz="0" w:space="0" w:color="auto"/>
                                        <w:right w:val="none" w:sz="0" w:space="0" w:color="auto"/>
                                      </w:divBdr>
                                      <w:divsChild>
                                        <w:div w:id="300966003">
                                          <w:marLeft w:val="0"/>
                                          <w:marRight w:val="0"/>
                                          <w:marTop w:val="0"/>
                                          <w:marBottom w:val="0"/>
                                          <w:divBdr>
                                            <w:top w:val="none" w:sz="0" w:space="0" w:color="auto"/>
                                            <w:left w:val="none" w:sz="0" w:space="0" w:color="auto"/>
                                            <w:bottom w:val="none" w:sz="0" w:space="0" w:color="auto"/>
                                            <w:right w:val="none" w:sz="0" w:space="0" w:color="auto"/>
                                          </w:divBdr>
                                        </w:div>
                                        <w:div w:id="9255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881270">
      <w:bodyDiv w:val="1"/>
      <w:marLeft w:val="0"/>
      <w:marRight w:val="0"/>
      <w:marTop w:val="0"/>
      <w:marBottom w:val="0"/>
      <w:divBdr>
        <w:top w:val="none" w:sz="0" w:space="0" w:color="auto"/>
        <w:left w:val="none" w:sz="0" w:space="0" w:color="auto"/>
        <w:bottom w:val="none" w:sz="0" w:space="0" w:color="auto"/>
        <w:right w:val="none" w:sz="0" w:space="0" w:color="auto"/>
      </w:divBdr>
      <w:divsChild>
        <w:div w:id="209850145">
          <w:marLeft w:val="0"/>
          <w:marRight w:val="0"/>
          <w:marTop w:val="0"/>
          <w:marBottom w:val="0"/>
          <w:divBdr>
            <w:top w:val="none" w:sz="0" w:space="0" w:color="auto"/>
            <w:left w:val="none" w:sz="0" w:space="0" w:color="auto"/>
            <w:bottom w:val="none" w:sz="0" w:space="0" w:color="auto"/>
            <w:right w:val="none" w:sz="0" w:space="0" w:color="auto"/>
          </w:divBdr>
          <w:divsChild>
            <w:div w:id="937374447">
              <w:marLeft w:val="0"/>
              <w:marRight w:val="120"/>
              <w:marTop w:val="0"/>
              <w:marBottom w:val="0"/>
              <w:divBdr>
                <w:top w:val="none" w:sz="0" w:space="0" w:color="auto"/>
                <w:left w:val="none" w:sz="0" w:space="0" w:color="auto"/>
                <w:bottom w:val="none" w:sz="0" w:space="0" w:color="auto"/>
                <w:right w:val="none" w:sz="0" w:space="0" w:color="auto"/>
              </w:divBdr>
              <w:divsChild>
                <w:div w:id="1429042122">
                  <w:marLeft w:val="0"/>
                  <w:marRight w:val="0"/>
                  <w:marTop w:val="0"/>
                  <w:marBottom w:val="0"/>
                  <w:divBdr>
                    <w:top w:val="none" w:sz="0" w:space="0" w:color="auto"/>
                    <w:left w:val="none" w:sz="0" w:space="0" w:color="auto"/>
                    <w:bottom w:val="none" w:sz="0" w:space="0" w:color="auto"/>
                    <w:right w:val="none" w:sz="0" w:space="0" w:color="auto"/>
                  </w:divBdr>
                  <w:divsChild>
                    <w:div w:id="1635598272">
                      <w:marLeft w:val="0"/>
                      <w:marRight w:val="0"/>
                      <w:marTop w:val="0"/>
                      <w:marBottom w:val="0"/>
                      <w:divBdr>
                        <w:top w:val="none" w:sz="0" w:space="0" w:color="auto"/>
                        <w:left w:val="none" w:sz="0" w:space="0" w:color="auto"/>
                        <w:bottom w:val="none" w:sz="0" w:space="0" w:color="auto"/>
                        <w:right w:val="none" w:sz="0" w:space="0" w:color="auto"/>
                      </w:divBdr>
                      <w:divsChild>
                        <w:div w:id="1728601274">
                          <w:marLeft w:val="0"/>
                          <w:marRight w:val="0"/>
                          <w:marTop w:val="0"/>
                          <w:marBottom w:val="0"/>
                          <w:divBdr>
                            <w:top w:val="none" w:sz="0" w:space="0" w:color="auto"/>
                            <w:left w:val="none" w:sz="0" w:space="0" w:color="auto"/>
                            <w:bottom w:val="none" w:sz="0" w:space="0" w:color="auto"/>
                            <w:right w:val="none" w:sz="0" w:space="0" w:color="auto"/>
                          </w:divBdr>
                          <w:divsChild>
                            <w:div w:id="1310282604">
                              <w:marLeft w:val="0"/>
                              <w:marRight w:val="0"/>
                              <w:marTop w:val="0"/>
                              <w:marBottom w:val="0"/>
                              <w:divBdr>
                                <w:top w:val="none" w:sz="0" w:space="0" w:color="auto"/>
                                <w:left w:val="none" w:sz="0" w:space="0" w:color="auto"/>
                                <w:bottom w:val="none" w:sz="0" w:space="0" w:color="auto"/>
                                <w:right w:val="none" w:sz="0" w:space="0" w:color="auto"/>
                              </w:divBdr>
                              <w:divsChild>
                                <w:div w:id="826022309">
                                  <w:marLeft w:val="0"/>
                                  <w:marRight w:val="0"/>
                                  <w:marTop w:val="0"/>
                                  <w:marBottom w:val="0"/>
                                  <w:divBdr>
                                    <w:top w:val="none" w:sz="0" w:space="0" w:color="auto"/>
                                    <w:left w:val="none" w:sz="0" w:space="0" w:color="auto"/>
                                    <w:bottom w:val="none" w:sz="0" w:space="0" w:color="auto"/>
                                    <w:right w:val="none" w:sz="0" w:space="0" w:color="auto"/>
                                  </w:divBdr>
                                  <w:divsChild>
                                    <w:div w:id="485976170">
                                      <w:marLeft w:val="0"/>
                                      <w:marRight w:val="0"/>
                                      <w:marTop w:val="0"/>
                                      <w:marBottom w:val="0"/>
                                      <w:divBdr>
                                        <w:top w:val="none" w:sz="0" w:space="0" w:color="auto"/>
                                        <w:left w:val="none" w:sz="0" w:space="0" w:color="auto"/>
                                        <w:bottom w:val="none" w:sz="0" w:space="0" w:color="auto"/>
                                        <w:right w:val="none" w:sz="0" w:space="0" w:color="auto"/>
                                      </w:divBdr>
                                    </w:div>
                                    <w:div w:id="13216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e-scee.ca/CJE/Articles/FullText/CJE28-4/CJE28-4-mishnaet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outh_Pa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watch?v=KVN_0qvuhhw&amp;feature=relmfu" TargetMode="External"/><Relationship Id="rId4" Type="http://schemas.openxmlformats.org/officeDocument/2006/relationships/webSettings" Target="webSettings.xml"/><Relationship Id="rId9" Type="http://schemas.openxmlformats.org/officeDocument/2006/relationships/hyperlink" Target="http://www.youtube.com/watch?v=EBOjl8lG9G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8</cp:revision>
  <dcterms:created xsi:type="dcterms:W3CDTF">2012-05-24T18:25:00Z</dcterms:created>
  <dcterms:modified xsi:type="dcterms:W3CDTF">2012-05-28T11:25:00Z</dcterms:modified>
</cp:coreProperties>
</file>